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 </w:t>
      </w:r>
      <w:r w:rsidR="00A66274">
        <w:rPr>
          <w:rFonts w:ascii="inherit" w:eastAsia="Times New Roman" w:hAnsi="inherit" w:cs="Arial"/>
          <w:b/>
          <w:bCs/>
          <w:color w:val="212529"/>
          <w:kern w:val="36"/>
          <w:sz w:val="33"/>
          <w:szCs w:val="33"/>
        </w:rPr>
        <w:t>1</w:t>
      </w:r>
      <w:r>
        <w:rPr>
          <w:rFonts w:ascii="inherit" w:eastAsia="Times New Roman" w:hAnsi="inherit" w:cs="Arial"/>
          <w:b/>
          <w:bCs/>
          <w:color w:val="212529"/>
          <w:kern w:val="36"/>
          <w:sz w:val="33"/>
          <w:szCs w:val="33"/>
        </w:rPr>
        <w:t xml:space="preserve"> – </w:t>
      </w:r>
      <w:r w:rsidR="00A66274">
        <w:rPr>
          <w:rFonts w:ascii="inherit" w:eastAsia="Times New Roman" w:hAnsi="inherit" w:cs="Arial"/>
          <w:b/>
          <w:bCs/>
          <w:color w:val="212529"/>
          <w:kern w:val="36"/>
          <w:sz w:val="33"/>
          <w:szCs w:val="33"/>
        </w:rPr>
        <w:t>30</w:t>
      </w:r>
      <w:r>
        <w:rPr>
          <w:rFonts w:ascii="inherit" w:eastAsia="Times New Roman" w:hAnsi="inherit" w:cs="Arial"/>
          <w:b/>
          <w:bCs/>
          <w:color w:val="212529"/>
          <w:kern w:val="36"/>
          <w:sz w:val="33"/>
          <w:szCs w:val="33"/>
        </w:rPr>
        <w:t xml:space="preserve"> Day Report</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As of </w:t>
      </w:r>
      <w:r>
        <w:rPr>
          <w:rFonts w:ascii="Arial" w:eastAsia="Times New Roman" w:hAnsi="Arial" w:cs="Arial"/>
          <w:color w:val="212529"/>
          <w:sz w:val="24"/>
          <w:szCs w:val="24"/>
        </w:rPr>
        <w:t>May 15</w:t>
      </w:r>
      <w:r w:rsidRPr="00B935C4">
        <w:rPr>
          <w:rFonts w:ascii="Arial" w:eastAsia="Times New Roman" w:hAnsi="Arial" w:cs="Arial"/>
          <w:color w:val="212529"/>
          <w:sz w:val="24"/>
          <w:szCs w:val="24"/>
        </w:rPr>
        <w:t xml:space="preserve">, 2020,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distributed $</w:t>
      </w:r>
      <w:r w:rsidR="00382465">
        <w:rPr>
          <w:rFonts w:ascii="Arial" w:eastAsia="Times New Roman" w:hAnsi="Arial" w:cs="Arial"/>
          <w:color w:val="212529"/>
          <w:sz w:val="24"/>
          <w:szCs w:val="24"/>
        </w:rPr>
        <w:t>167,106</w:t>
      </w:r>
      <w:r w:rsidRPr="00B935C4">
        <w:rPr>
          <w:rFonts w:ascii="Arial" w:eastAsia="Times New Roman" w:hAnsi="Arial" w:cs="Arial"/>
          <w:color w:val="212529"/>
          <w:sz w:val="24"/>
          <w:szCs w:val="24"/>
        </w:rPr>
        <w:t xml:space="preserve">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As of </w:t>
      </w:r>
      <w:r w:rsidR="00382465">
        <w:rPr>
          <w:rFonts w:ascii="Arial" w:eastAsia="Times New Roman" w:hAnsi="Arial" w:cs="Arial"/>
          <w:color w:val="212529"/>
          <w:sz w:val="24"/>
          <w:szCs w:val="24"/>
        </w:rPr>
        <w:t>May 15</w:t>
      </w:r>
      <w:r w:rsidRPr="00B935C4">
        <w:rPr>
          <w:rFonts w:ascii="Arial" w:eastAsia="Times New Roman" w:hAnsi="Arial" w:cs="Arial"/>
          <w:color w:val="212529"/>
          <w:sz w:val="24"/>
          <w:szCs w:val="24"/>
        </w:rPr>
        <w:t xml:space="preserve">, 2020, </w:t>
      </w:r>
      <w:r w:rsidR="00382465">
        <w:rPr>
          <w:rFonts w:ascii="Arial" w:eastAsia="Times New Roman" w:hAnsi="Arial" w:cs="Arial"/>
          <w:color w:val="212529"/>
          <w:sz w:val="24"/>
          <w:szCs w:val="24"/>
        </w:rPr>
        <w:t>214</w:t>
      </w:r>
      <w:r w:rsidRPr="00B935C4">
        <w:rPr>
          <w:rFonts w:ascii="Arial" w:eastAsia="Times New Roman" w:hAnsi="Arial" w:cs="Arial"/>
          <w:color w:val="212529"/>
          <w:sz w:val="24"/>
          <w:szCs w:val="24"/>
        </w:rPr>
        <w:t xml:space="preserve"> students have received funding.</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lastRenderedPageBreak/>
        <w:t>The method(s) used by the institution to determine which students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0" w:name="_Hlk37075272"/>
      <w:r w:rsidRPr="00BB6970">
        <w:rPr>
          <w:rFonts w:ascii="Arial" w:eastAsia="Times New Roman" w:hAnsi="Arial" w:cs="Arial"/>
          <w:color w:val="212529"/>
          <w:sz w:val="24"/>
          <w:szCs w:val="24"/>
        </w:rPr>
        <w:t>Additional expenses as a result of the Coronavirus campus disruptions</w:t>
      </w:r>
    </w:p>
    <w:bookmarkEnd w:id="0"/>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lastRenderedPageBreak/>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1827F7" w:rsidP="00BB6970">
      <w:pPr>
        <w:spacing w:after="0" w:line="240" w:lineRule="auto"/>
        <w:rPr>
          <w:rFonts w:ascii="Arial" w:eastAsia="Times New Roman" w:hAnsi="Arial" w:cs="Arial"/>
          <w:color w:val="212529"/>
          <w:sz w:val="24"/>
          <w:szCs w:val="24"/>
        </w:rPr>
      </w:pPr>
      <w:hyperlink r:id="rId5" w:history="1"/>
      <w:r w:rsidR="00BB6970" w:rsidRPr="00BB6970">
        <w:rPr>
          <w:rFonts w:ascii="Arial" w:eastAsia="Times New Roman" w:hAnsi="Arial" w:cs="Arial"/>
          <w:b/>
          <w:color w:val="212529"/>
          <w:sz w:val="24"/>
          <w:szCs w:val="24"/>
        </w:rPr>
        <w:t xml:space="preserve">Below </w:t>
      </w:r>
      <w:bookmarkStart w:id="2" w:name="_GoBack"/>
      <w:bookmarkEnd w:id="2"/>
      <w:r w:rsidRPr="00BB6970">
        <w:rPr>
          <w:rFonts w:ascii="Arial" w:eastAsia="Times New Roman" w:hAnsi="Arial" w:cs="Arial"/>
          <w:b/>
          <w:color w:val="212529"/>
          <w:sz w:val="24"/>
          <w:szCs w:val="24"/>
        </w:rPr>
        <w:t>are</w:t>
      </w:r>
      <w:r w:rsidR="00BB6970"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00BB6970"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1827F7" w:rsidP="00BB6970">
      <w:pPr>
        <w:spacing w:after="0" w:line="240" w:lineRule="auto"/>
        <w:rPr>
          <w:rFonts w:ascii="Arial" w:eastAsia="Times New Roman" w:hAnsi="Arial" w:cs="Arial"/>
          <w:color w:val="212529"/>
          <w:sz w:val="24"/>
          <w:szCs w:val="24"/>
        </w:rPr>
      </w:pPr>
      <w:hyperlink r:id="rId6" w:tgtFrame="_blank" w:history="1">
        <w:r w:rsidR="00BB6970"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noProof/>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t>Weatherford College CARES Act Informational Webpage</w:t>
      </w:r>
    </w:p>
    <w:p w:rsidR="00A8436A" w:rsidRDefault="00A8436A">
      <w:pPr>
        <w:rPr>
          <w:rFonts w:ascii="Arial" w:hAnsi="Arial" w:cs="Arial"/>
          <w:sz w:val="24"/>
          <w:szCs w:val="24"/>
        </w:rPr>
      </w:pPr>
      <w:r>
        <w:rPr>
          <w:rFonts w:ascii="Arial" w:hAnsi="Arial" w:cs="Arial"/>
          <w:sz w:val="24"/>
          <w:szCs w:val="24"/>
        </w:rPr>
        <w:lastRenderedPageBreak/>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1827F7"/>
    <w:rsid w:val="00382465"/>
    <w:rsid w:val="00A66274"/>
    <w:rsid w:val="00A8436A"/>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7</cp:revision>
  <dcterms:created xsi:type="dcterms:W3CDTF">2023-02-24T19:52:00Z</dcterms:created>
  <dcterms:modified xsi:type="dcterms:W3CDTF">2023-02-24T22:56:00Z</dcterms:modified>
</cp:coreProperties>
</file>